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7F1" w:rsidRPr="00FD140B" w:rsidRDefault="003277F1" w:rsidP="00BA344F">
      <w:pPr>
        <w:pStyle w:val="ListParagraph"/>
        <w:spacing w:after="0" w:line="240" w:lineRule="auto"/>
        <w:ind w:left="0"/>
        <w:jc w:val="center"/>
        <w:rPr>
          <w:rFonts w:ascii="Times New Roman" w:hAnsi="Times New Roman"/>
          <w:b/>
          <w:sz w:val="24"/>
          <w:szCs w:val="24"/>
        </w:rPr>
      </w:pPr>
      <w:r w:rsidRPr="00FD140B">
        <w:rPr>
          <w:rFonts w:ascii="Times New Roman" w:hAnsi="Times New Roman"/>
          <w:b/>
          <w:sz w:val="24"/>
          <w:szCs w:val="24"/>
        </w:rPr>
        <w:t xml:space="preserve">ТЕХНОЛОГИЧЕСКАЯ КАРТА </w:t>
      </w:r>
    </w:p>
    <w:p w:rsidR="003277F1" w:rsidRPr="00FD140B" w:rsidRDefault="003277F1" w:rsidP="00BA344F">
      <w:pPr>
        <w:pStyle w:val="ListParagraph"/>
        <w:spacing w:after="0" w:line="240" w:lineRule="auto"/>
        <w:ind w:left="0"/>
        <w:jc w:val="center"/>
        <w:rPr>
          <w:rFonts w:ascii="Times New Roman" w:hAnsi="Times New Roman"/>
          <w:b/>
          <w:sz w:val="24"/>
          <w:szCs w:val="24"/>
        </w:rPr>
      </w:pPr>
      <w:r w:rsidRPr="00FD140B">
        <w:rPr>
          <w:rFonts w:ascii="Times New Roman" w:hAnsi="Times New Roman"/>
          <w:b/>
          <w:sz w:val="24"/>
          <w:szCs w:val="24"/>
        </w:rPr>
        <w:t xml:space="preserve">ОЦЕНКИ РАЗВИВАЮЩЕЙ ПРЕДМЕТНО-ПРОСТРАНСТВЕННОЙ СРЕДЫ </w:t>
      </w:r>
    </w:p>
    <w:p w:rsidR="003277F1" w:rsidRPr="00FD140B" w:rsidRDefault="003277F1" w:rsidP="00BA344F">
      <w:pPr>
        <w:pStyle w:val="ListParagraph"/>
        <w:spacing w:after="0" w:line="240" w:lineRule="auto"/>
        <w:ind w:left="0"/>
        <w:jc w:val="center"/>
        <w:rPr>
          <w:rFonts w:ascii="Times New Roman" w:hAnsi="Times New Roman"/>
          <w:b/>
          <w:sz w:val="24"/>
          <w:szCs w:val="24"/>
        </w:rPr>
      </w:pPr>
      <w:r w:rsidRPr="00FD140B">
        <w:rPr>
          <w:rFonts w:ascii="Times New Roman" w:hAnsi="Times New Roman"/>
          <w:b/>
          <w:sz w:val="24"/>
          <w:szCs w:val="24"/>
        </w:rPr>
        <w:t xml:space="preserve">ОРГАНИЗАЦИИ ОБРАЗОВАТЕЛЬНОЙ ДЕЯТЕЛЬНОСТИ </w:t>
      </w:r>
    </w:p>
    <w:p w:rsidR="003277F1" w:rsidRPr="00FD140B" w:rsidRDefault="003277F1" w:rsidP="00BA344F">
      <w:pPr>
        <w:pStyle w:val="ListParagraph"/>
        <w:spacing w:after="0" w:line="240" w:lineRule="auto"/>
        <w:ind w:left="0"/>
        <w:jc w:val="center"/>
        <w:rPr>
          <w:rFonts w:ascii="Times New Roman" w:hAnsi="Times New Roman"/>
          <w:b/>
          <w:sz w:val="24"/>
          <w:szCs w:val="24"/>
        </w:rPr>
      </w:pPr>
      <w:r w:rsidRPr="00FD140B">
        <w:rPr>
          <w:rFonts w:ascii="Times New Roman" w:hAnsi="Times New Roman"/>
          <w:b/>
          <w:sz w:val="24"/>
          <w:szCs w:val="24"/>
        </w:rPr>
        <w:t xml:space="preserve"> /в показателях и индикаторах/ </w:t>
      </w:r>
    </w:p>
    <w:p w:rsidR="003277F1" w:rsidRPr="00FD140B" w:rsidRDefault="003277F1" w:rsidP="00BA344F">
      <w:pPr>
        <w:pStyle w:val="ListParagraph"/>
        <w:spacing w:after="0" w:line="240" w:lineRule="auto"/>
        <w:ind w:left="0"/>
        <w:jc w:val="center"/>
        <w:rPr>
          <w:rFonts w:ascii="Times New Roman" w:hAnsi="Times New Roman"/>
          <w:b/>
          <w:sz w:val="24"/>
          <w:szCs w:val="24"/>
        </w:rPr>
      </w:pPr>
    </w:p>
    <w:p w:rsidR="003277F1" w:rsidRPr="00FD140B" w:rsidRDefault="003277F1" w:rsidP="00BA344F">
      <w:pPr>
        <w:pStyle w:val="ListParagraph"/>
        <w:spacing w:after="0" w:line="240" w:lineRule="auto"/>
        <w:ind w:left="0"/>
        <w:jc w:val="center"/>
        <w:rPr>
          <w:rFonts w:ascii="Times New Roman" w:hAnsi="Times New Roman"/>
          <w:b/>
          <w:sz w:val="24"/>
          <w:szCs w:val="24"/>
        </w:rPr>
      </w:pPr>
      <w:r w:rsidRPr="00FD140B">
        <w:rPr>
          <w:rFonts w:ascii="Times New Roman" w:hAnsi="Times New Roman"/>
          <w:b/>
          <w:sz w:val="24"/>
          <w:szCs w:val="24"/>
        </w:rPr>
        <w:t>Баллы: 0 – не соответствует, 1 – частично соответствует, 2 – полностью соответствует.</w:t>
      </w:r>
    </w:p>
    <w:p w:rsidR="003277F1" w:rsidRPr="00FD140B" w:rsidRDefault="003277F1" w:rsidP="00BA344F">
      <w:pPr>
        <w:pStyle w:val="ListParagraph"/>
        <w:spacing w:after="0" w:line="240" w:lineRule="auto"/>
        <w:ind w:left="0"/>
        <w:jc w:val="center"/>
        <w:rPr>
          <w:rFonts w:ascii="Times New Roman" w:hAnsi="Times New Roman"/>
          <w:b/>
          <w:sz w:val="24"/>
          <w:szCs w:val="24"/>
        </w:rPr>
      </w:pPr>
    </w:p>
    <w:p w:rsidR="003277F1" w:rsidRPr="00FD140B" w:rsidRDefault="003277F1" w:rsidP="00BA344F">
      <w:pPr>
        <w:pStyle w:val="ListParagraph"/>
        <w:spacing w:after="0" w:line="240" w:lineRule="auto"/>
        <w:ind w:left="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6"/>
        <w:gridCol w:w="6621"/>
        <w:gridCol w:w="2212"/>
        <w:gridCol w:w="1213"/>
      </w:tblGrid>
      <w:tr w:rsidR="003277F1" w:rsidRPr="00F61625" w:rsidTr="00F61625">
        <w:tc>
          <w:tcPr>
            <w:tcW w:w="566" w:type="dxa"/>
            <w:vMerge w:val="restart"/>
          </w:tcPr>
          <w:p w:rsidR="003277F1" w:rsidRPr="00F61625" w:rsidRDefault="003277F1" w:rsidP="00F61625">
            <w:pPr>
              <w:pStyle w:val="ListParagraph"/>
              <w:spacing w:after="0" w:line="240" w:lineRule="auto"/>
              <w:ind w:left="0"/>
              <w:jc w:val="center"/>
              <w:rPr>
                <w:rFonts w:ascii="Times New Roman" w:hAnsi="Times New Roman"/>
                <w:b/>
                <w:sz w:val="24"/>
                <w:szCs w:val="24"/>
              </w:rPr>
            </w:pPr>
            <w:r w:rsidRPr="00F61625">
              <w:rPr>
                <w:rFonts w:ascii="Times New Roman" w:hAnsi="Times New Roman"/>
                <w:b/>
                <w:sz w:val="24"/>
                <w:szCs w:val="24"/>
              </w:rPr>
              <w:t>№</w:t>
            </w:r>
          </w:p>
        </w:tc>
        <w:tc>
          <w:tcPr>
            <w:tcW w:w="7020" w:type="dxa"/>
            <w:vMerge w:val="restart"/>
          </w:tcPr>
          <w:p w:rsidR="003277F1" w:rsidRPr="00F61625" w:rsidRDefault="003277F1" w:rsidP="00F61625">
            <w:pPr>
              <w:pStyle w:val="ListParagraph"/>
              <w:spacing w:after="0" w:line="240" w:lineRule="auto"/>
              <w:ind w:left="0"/>
              <w:jc w:val="center"/>
              <w:rPr>
                <w:rFonts w:ascii="Times New Roman" w:hAnsi="Times New Roman"/>
                <w:b/>
                <w:sz w:val="24"/>
                <w:szCs w:val="24"/>
              </w:rPr>
            </w:pPr>
            <w:r w:rsidRPr="00F61625">
              <w:rPr>
                <w:rFonts w:ascii="Times New Roman" w:hAnsi="Times New Roman"/>
                <w:b/>
                <w:sz w:val="24"/>
                <w:szCs w:val="24"/>
              </w:rPr>
              <w:t>Показатели / Индикаторы</w:t>
            </w:r>
          </w:p>
        </w:tc>
        <w:tc>
          <w:tcPr>
            <w:tcW w:w="1879" w:type="dxa"/>
          </w:tcPr>
          <w:p w:rsidR="003277F1" w:rsidRPr="00F61625" w:rsidRDefault="003277F1" w:rsidP="00F61625">
            <w:pPr>
              <w:pStyle w:val="ListParagraph"/>
              <w:spacing w:after="0" w:line="240" w:lineRule="auto"/>
              <w:ind w:left="0"/>
              <w:jc w:val="center"/>
              <w:rPr>
                <w:rFonts w:ascii="Times New Roman" w:hAnsi="Times New Roman"/>
                <w:b/>
                <w:sz w:val="24"/>
                <w:szCs w:val="24"/>
              </w:rPr>
            </w:pPr>
            <w:r w:rsidRPr="00F61625">
              <w:rPr>
                <w:rFonts w:ascii="Times New Roman" w:hAnsi="Times New Roman"/>
                <w:b/>
                <w:sz w:val="24"/>
                <w:szCs w:val="24"/>
              </w:rPr>
              <w:t>Результаты самообследования</w:t>
            </w:r>
          </w:p>
        </w:tc>
        <w:tc>
          <w:tcPr>
            <w:tcW w:w="1217" w:type="dxa"/>
          </w:tcPr>
          <w:p w:rsidR="003277F1" w:rsidRPr="00F61625" w:rsidRDefault="003277F1" w:rsidP="00F61625">
            <w:pPr>
              <w:pStyle w:val="ListParagraph"/>
              <w:spacing w:after="0" w:line="240" w:lineRule="auto"/>
              <w:ind w:left="0"/>
              <w:jc w:val="center"/>
              <w:rPr>
                <w:rFonts w:ascii="Times New Roman" w:hAnsi="Times New Roman"/>
                <w:b/>
                <w:sz w:val="24"/>
                <w:szCs w:val="24"/>
              </w:rPr>
            </w:pPr>
            <w:r w:rsidRPr="00F61625">
              <w:rPr>
                <w:rFonts w:ascii="Times New Roman" w:hAnsi="Times New Roman"/>
                <w:b/>
                <w:sz w:val="24"/>
                <w:szCs w:val="24"/>
              </w:rPr>
              <w:t>Баллы эксперта</w:t>
            </w:r>
          </w:p>
        </w:tc>
      </w:tr>
      <w:tr w:rsidR="003277F1" w:rsidRPr="00F61625" w:rsidTr="00F61625">
        <w:tc>
          <w:tcPr>
            <w:tcW w:w="566" w:type="dxa"/>
            <w:vMerge/>
          </w:tcPr>
          <w:p w:rsidR="003277F1" w:rsidRPr="00F61625" w:rsidRDefault="003277F1" w:rsidP="00F61625">
            <w:pPr>
              <w:pStyle w:val="ListParagraph"/>
              <w:spacing w:after="0" w:line="240" w:lineRule="auto"/>
              <w:ind w:left="0"/>
              <w:rPr>
                <w:rFonts w:ascii="Times New Roman" w:hAnsi="Times New Roman"/>
                <w:sz w:val="24"/>
                <w:szCs w:val="24"/>
              </w:rPr>
            </w:pPr>
          </w:p>
        </w:tc>
        <w:tc>
          <w:tcPr>
            <w:tcW w:w="7020" w:type="dxa"/>
            <w:vMerge/>
          </w:tcPr>
          <w:p w:rsidR="003277F1" w:rsidRPr="00F61625" w:rsidRDefault="003277F1" w:rsidP="00F61625">
            <w:pPr>
              <w:pStyle w:val="ListParagraph"/>
              <w:spacing w:after="0" w:line="240" w:lineRule="auto"/>
              <w:ind w:left="0"/>
              <w:rPr>
                <w:rFonts w:ascii="Times New Roman" w:hAnsi="Times New Roman"/>
                <w:sz w:val="24"/>
                <w:szCs w:val="24"/>
              </w:rPr>
            </w:pPr>
          </w:p>
        </w:tc>
        <w:tc>
          <w:tcPr>
            <w:tcW w:w="3096" w:type="dxa"/>
            <w:gridSpan w:val="2"/>
          </w:tcPr>
          <w:p w:rsidR="003277F1" w:rsidRPr="00F61625" w:rsidRDefault="003277F1" w:rsidP="00F61625">
            <w:pPr>
              <w:pStyle w:val="ListParagraph"/>
              <w:spacing w:after="0" w:line="240" w:lineRule="auto"/>
              <w:ind w:left="0"/>
              <w:jc w:val="center"/>
              <w:rPr>
                <w:rFonts w:ascii="Times New Roman" w:hAnsi="Times New Roman"/>
                <w:b/>
                <w:sz w:val="24"/>
                <w:szCs w:val="24"/>
              </w:rPr>
            </w:pPr>
            <w:r w:rsidRPr="00F61625">
              <w:rPr>
                <w:rFonts w:ascii="Times New Roman" w:hAnsi="Times New Roman"/>
                <w:b/>
                <w:sz w:val="24"/>
                <w:szCs w:val="24"/>
              </w:rPr>
              <w:t>Баллы (от 0 до 2)</w:t>
            </w:r>
          </w:p>
        </w:tc>
      </w:tr>
      <w:tr w:rsidR="003277F1" w:rsidRPr="00F61625" w:rsidTr="00F61625">
        <w:tc>
          <w:tcPr>
            <w:tcW w:w="10682" w:type="dxa"/>
            <w:gridSpan w:val="4"/>
            <w:shd w:val="clear" w:color="auto" w:fill="FFFF00"/>
          </w:tcPr>
          <w:p w:rsidR="003277F1" w:rsidRPr="00F61625" w:rsidRDefault="003277F1" w:rsidP="00F61625">
            <w:pPr>
              <w:spacing w:after="0" w:line="240" w:lineRule="auto"/>
              <w:jc w:val="both"/>
              <w:rPr>
                <w:rFonts w:ascii="Times New Roman" w:hAnsi="Times New Roman"/>
                <w:b/>
                <w:sz w:val="24"/>
                <w:szCs w:val="24"/>
              </w:rPr>
            </w:pPr>
            <w:r w:rsidRPr="00F61625">
              <w:rPr>
                <w:rFonts w:ascii="Times New Roman" w:hAnsi="Times New Roman"/>
                <w:b/>
                <w:sz w:val="24"/>
                <w:szCs w:val="24"/>
              </w:rPr>
              <w:t xml:space="preserve">I. Показатели, характеризующие общий критерий оценки качества развивающей предметно-пространственной среды, касающиеся ее содержательной насыщенности </w:t>
            </w:r>
          </w:p>
        </w:tc>
      </w:tr>
      <w:tr w:rsidR="003277F1" w:rsidRPr="00F61625" w:rsidTr="00F61625">
        <w:tc>
          <w:tcPr>
            <w:tcW w:w="566"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1.1</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Организация образовательного пространства соответствует возрастным возможностям детей</w:t>
            </w:r>
            <w:bookmarkStart w:id="0" w:name="_GoBack"/>
            <w:bookmarkEnd w:id="0"/>
            <w:r w:rsidRPr="00F61625">
              <w:rPr>
                <w:rFonts w:ascii="Times New Roman" w:hAnsi="Times New Roman"/>
                <w:sz w:val="24"/>
                <w:szCs w:val="24"/>
              </w:rPr>
              <w:t xml:space="preserve">, соответствует особенностям каждого возрастного этапа: </w:t>
            </w:r>
          </w:p>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 xml:space="preserve">- в помещениях образовательной организации находится мебель, по размеру и функциональному назначению подобранная в соответствии с возрастом детей;  </w:t>
            </w:r>
          </w:p>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 xml:space="preserve">- в помещениях образовательной организации выделены функциональные зоны (пространства) в зависимости от образовательных, психологических, физиологических потребностей детей разного возраста; </w:t>
            </w:r>
          </w:p>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 все доступные детям помещения образовательной организации, включая коридоры и лестницы, используются для развития детей (оформляются детскими рисунками; на стенах, на полу, на ступенях размещаются надписи, схемы, буквы, цифры и т.п.)</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1.2</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Организация образовательного пространства соответствует содержанию Основной образовательной программы дошкольного образования, разработанной образовательной организацией самостоятельно</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1.3</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 xml:space="preserve">В организации образовательного пространства учитывается целостность образовательного процесса в образовательной организации, в заданных образовательных областях: социальнокоммуникативной, познавательной, речевой, художественно-эстетической, физической   </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1.4</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Образовательное пространство оснащено игровыми   средствами обучения в соответствии со спецификой Программы</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1.5</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Образовательное пространство оснащено спортивным, оздоровительным оборудованием, инвентарем в соответствии со спецификой Программы</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1.6</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В образовательном пространстве учитывается реализация различных образовательных программ (дополнительных, авторских, парциальных)</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1.7</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В образовательном пространстве учитываются национально-культурные условия, в которых осуществляется образовательная деятельность</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1.8</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В образовательном пространстве учитываются климатические условия, в которых осуществляется образовательная деятельность</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1.9</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 xml:space="preserve">Организация образовательного пространства и разнообразие материалов, оборудования и инвентаря (в здании и на участке) для детей младенческого и раннего возраста предоставляет необходимые и достаточные возможности для движения с разными материалами </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1.10</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Организация образовательного пространства и разнообразие материалов, оборудования и инвентаря (в здании и на участке) для детей младенческого и раннего возраста предоставляет необходимые и достаточные возможности для предметной и игровой деятельности с разными материалами</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1.11</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 xml:space="preserve">Организация образовательного пространства и разнообразие материалов, оборудования и инвентаря (в здании и на участке) обеспечивает игровую, познавательную, исследовательскую и творческую активность всех воспитанников, экспериментирование с доступными детям материалами (в том числе с песком и водой) </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1.12</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Организация образовательного пространства и   разнообразие материалов, оборудования и инвентаря (в здании и на участке) обеспечивает двигательную активность, в том числе развитие крупной и мелкой моторики, участие в подвижных играх и соревнованиях</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1.13</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Организация образовательного пространства и разнообразие материалов, оборудования и инвентаря (в здании и на участке) обеспечивает эмоциональное благополучие детей во взаимодействии с предметно-пространственным окружением</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1.14</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Организация образовательного пространства и разнообразие материалов, оборудования и инвентаря (в здании и на участке) обеспечивает возможность самовыражения детей</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1.15</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Организация образовательного пространства и разнообразие материалов, оборудования и инвентаря (в здании и на участке) учитывает индивидуальные особенности детей и коррекцию недостатков развития</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1.16</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 xml:space="preserve">Организация образовательного пространства и разнообразие материалов, оборудования и инвентаря (в здании и на участке) учитывает индивидуальные особенности одаренных детей  </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1.17</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Организация образовательного пространства и разнообразие материалов, оборудования обеспечивает возможности общения и совместной деятельности детей (в том числе детей разного возраста) и взрослых</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1.18</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Организация образовательного пространства и разнообразие материалов, оборудования обеспечивает возможности для двигательной активности детей</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1.19</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 xml:space="preserve">Организация образовательного пространства и разнообразие материалов, оборудования обеспечивает возможности для уединения детей </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1.20</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 xml:space="preserve">Образовательное пространство оснащено техническими средствами обучения, соответствующими материалами, в том числе расходными для использования  </w:t>
            </w:r>
          </w:p>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 xml:space="preserve"> информационно-коммуникационных технологий в образовательном процессе (стационарные и мобильные компьютеры, интерактивное оборудование, принтеры и т. п.).</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1.21</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 xml:space="preserve">В организации образовательного пространства обеспечено подключение всех групповых, а также иных помещений образовательной организации к сети Интернет (с учетом регламентов безопасного пользования Интернетом и психолого-педагогической экспертизы компьютерных игр) </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1.22</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В организации образовательного пространства обеспечено компьютерно-техническое оснащение для демонстрации детям познавательных, художественных, мультипликационных фильмов, литературных, музыкальных произведений и др.</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1.23</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В организации образовательного пространства предоставлена возможность для поиска в информационной среде материалов, обеспечивающих реализацию Программы</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1.24</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В организации образовательного пространства обеспечены условия конструирования среды воспитания национально-культурного самосознания предполагающей в предметно-развивающем пространстве системное ознакомление детей с территориально-географическими, культурно-бытовыми аспектами жизни, устным творчеством, п</w:t>
            </w:r>
            <w:r>
              <w:rPr>
                <w:rFonts w:ascii="Times New Roman" w:hAnsi="Times New Roman"/>
                <w:sz w:val="24"/>
                <w:szCs w:val="24"/>
              </w:rPr>
              <w:t>рикладным искусством.</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1.25</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В организации предметно-развивающего пространства обеспечены условия для  усиления эмоциональной насыщенности образовательной среды в процессе педагогического взаимодействия между субъектами благодаря приданию положительного эмоционального настроя, атмосферы доверия, уважения, открытости,сопереживания отношениям между субъектами - взрослыми (воспитателями и родителями) и детьми, стимулированию положительных эстетических эмоциональных переживаний детей (радости, восторга, восхищения) по поводу общения с разными видами искусс</w:t>
            </w:r>
            <w:r>
              <w:rPr>
                <w:rFonts w:ascii="Times New Roman" w:hAnsi="Times New Roman"/>
                <w:sz w:val="24"/>
                <w:szCs w:val="24"/>
              </w:rPr>
              <w:t>тва, родной природой</w:t>
            </w:r>
            <w:r w:rsidRPr="00F61625">
              <w:rPr>
                <w:rFonts w:ascii="Times New Roman" w:hAnsi="Times New Roman"/>
                <w:sz w:val="24"/>
                <w:szCs w:val="24"/>
              </w:rPr>
              <w:t>.</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1.26</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 xml:space="preserve">В организации образовательного пространства обеспечена возможность для предоставления информации о Программе семье, всем заинтересованным лицам, вовлеченным в образовательную деятельность, а также широкой общественности </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1.27</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В организации образовательного пространства обеспечена возможность для обсуждения с родителями (законными представителями) детей вопросов, связанных с реализацией Программы</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1.28</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 xml:space="preserve">В организации образовательного пространства обеспечена возможность для общения родителей (законных представителей) по интересам, связанным с развитием и образованием детей </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1.29</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 xml:space="preserve">Обеспечена информатизация пространственной среды образовательной организации в соответствии с возрастным особенностям дошкольного детства и учетом развивающих эффектов специфически «дошкольных» видов деятельности и условий их достижения </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AD0A97">
        <w:trPr>
          <w:trHeight w:val="1424"/>
        </w:trPr>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1.30</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В информационно-пространственной среде образовательной организации детям обеспечена возможность использования программных продуктов, мобильных приложений (в т.ч. для разработки собственного электронного образовательного ресурса), циф</w:t>
            </w:r>
            <w:r>
              <w:rPr>
                <w:rFonts w:ascii="Times New Roman" w:hAnsi="Times New Roman"/>
                <w:sz w:val="24"/>
                <w:szCs w:val="24"/>
              </w:rPr>
              <w:t>ровых и программируемых игрушек.</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7586" w:type="dxa"/>
            <w:gridSpan w:val="2"/>
            <w:shd w:val="clear" w:color="auto" w:fill="F2F2F2"/>
          </w:tcPr>
          <w:p w:rsidR="003277F1" w:rsidRPr="00F61625" w:rsidRDefault="003277F1" w:rsidP="00F61625">
            <w:pPr>
              <w:pStyle w:val="ListParagraph"/>
              <w:spacing w:after="0" w:line="240" w:lineRule="auto"/>
              <w:ind w:left="0"/>
              <w:rPr>
                <w:rFonts w:ascii="Times New Roman" w:hAnsi="Times New Roman"/>
                <w:b/>
                <w:sz w:val="24"/>
                <w:szCs w:val="24"/>
              </w:rPr>
            </w:pPr>
            <w:r w:rsidRPr="00F61625">
              <w:rPr>
                <w:rFonts w:ascii="Times New Roman" w:hAnsi="Times New Roman"/>
                <w:b/>
                <w:sz w:val="24"/>
                <w:szCs w:val="24"/>
              </w:rPr>
              <w:t>Максимальное количество баллов по показателю</w:t>
            </w:r>
          </w:p>
        </w:tc>
        <w:tc>
          <w:tcPr>
            <w:tcW w:w="1879" w:type="dxa"/>
            <w:shd w:val="clear" w:color="auto" w:fill="F2F2F2"/>
          </w:tcPr>
          <w:p w:rsidR="003277F1" w:rsidRPr="00F61625" w:rsidRDefault="003277F1" w:rsidP="00F61625">
            <w:pPr>
              <w:pStyle w:val="ListParagraph"/>
              <w:spacing w:after="0" w:line="240" w:lineRule="auto"/>
              <w:ind w:left="0"/>
              <w:jc w:val="center"/>
              <w:rPr>
                <w:rFonts w:ascii="Times New Roman" w:hAnsi="Times New Roman"/>
                <w:b/>
                <w:sz w:val="24"/>
                <w:szCs w:val="24"/>
              </w:rPr>
            </w:pPr>
            <w:r w:rsidRPr="00F61625">
              <w:rPr>
                <w:rFonts w:ascii="Times New Roman" w:hAnsi="Times New Roman"/>
                <w:b/>
                <w:sz w:val="24"/>
                <w:szCs w:val="24"/>
              </w:rPr>
              <w:t>60</w:t>
            </w:r>
          </w:p>
        </w:tc>
        <w:tc>
          <w:tcPr>
            <w:tcW w:w="1217" w:type="dxa"/>
            <w:shd w:val="clear" w:color="auto" w:fill="F2F2F2"/>
          </w:tcPr>
          <w:p w:rsidR="003277F1" w:rsidRPr="00F61625" w:rsidRDefault="003277F1" w:rsidP="00F61625">
            <w:pPr>
              <w:pStyle w:val="ListParagraph"/>
              <w:spacing w:after="0" w:line="240" w:lineRule="auto"/>
              <w:ind w:left="0"/>
              <w:jc w:val="center"/>
              <w:rPr>
                <w:rFonts w:ascii="Times New Roman" w:hAnsi="Times New Roman"/>
                <w:b/>
                <w:sz w:val="24"/>
                <w:szCs w:val="24"/>
              </w:rPr>
            </w:pPr>
            <w:r w:rsidRPr="00F61625">
              <w:rPr>
                <w:rFonts w:ascii="Times New Roman" w:hAnsi="Times New Roman"/>
                <w:b/>
                <w:sz w:val="24"/>
                <w:szCs w:val="24"/>
              </w:rPr>
              <w:t>60</w:t>
            </w:r>
          </w:p>
        </w:tc>
      </w:tr>
      <w:tr w:rsidR="003277F1" w:rsidRPr="00F61625" w:rsidTr="00F61625">
        <w:tc>
          <w:tcPr>
            <w:tcW w:w="10682" w:type="dxa"/>
            <w:gridSpan w:val="4"/>
            <w:shd w:val="clear" w:color="auto" w:fill="FFFF00"/>
          </w:tcPr>
          <w:p w:rsidR="003277F1" w:rsidRPr="00F61625" w:rsidRDefault="003277F1" w:rsidP="00F61625">
            <w:pPr>
              <w:spacing w:after="0" w:line="240" w:lineRule="auto"/>
              <w:jc w:val="both"/>
              <w:rPr>
                <w:rFonts w:ascii="Times New Roman" w:hAnsi="Times New Roman"/>
                <w:b/>
                <w:sz w:val="24"/>
                <w:szCs w:val="24"/>
              </w:rPr>
            </w:pPr>
            <w:r w:rsidRPr="00F61625">
              <w:rPr>
                <w:rFonts w:ascii="Times New Roman" w:hAnsi="Times New Roman"/>
                <w:b/>
                <w:sz w:val="24"/>
                <w:szCs w:val="24"/>
              </w:rPr>
              <w:t>II. Показатели, характеризующие общий критерий оценки  качества развивающей предметно-пространственной среды, касающиеся трансформируемости пространства</w:t>
            </w:r>
          </w:p>
          <w:p w:rsidR="003277F1" w:rsidRPr="00F61625" w:rsidRDefault="003277F1" w:rsidP="00F61625">
            <w:pPr>
              <w:spacing w:after="0" w:line="240" w:lineRule="auto"/>
              <w:jc w:val="both"/>
              <w:rPr>
                <w:rFonts w:ascii="Times New Roman" w:hAnsi="Times New Roman"/>
                <w:b/>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2.1</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Организация пространства и расположение материалов обеспечивает возможность изменений предметно-пространственной среды в зависимости от образовательной ситуации</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2.2</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Организация пространства и расположение материалов обеспечивает возможность изменений предметнопространственной среды в зависимости от меняющихся интересов, мотивов и возможностей детей</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2.3</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В организации пространства группы используется разновеликая, но преимущественно достаточно низкая (по высоте), открытая (без стекол и задних стенок) мебель</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2.4</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В предметно-пространственной среде заложены возможности того, что и ребенок и взрослый могут стать творцами своего окружения – мебель и оборудование (снабжено рояльными колесиками) достаточно легки и устойчивы, могут быть перенесены ребенком (детьми) без посторонней помощи</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7586" w:type="dxa"/>
            <w:gridSpan w:val="2"/>
            <w:shd w:val="clear" w:color="auto" w:fill="F2F2F2"/>
          </w:tcPr>
          <w:p w:rsidR="003277F1" w:rsidRPr="00F61625" w:rsidRDefault="003277F1" w:rsidP="00AD0A97">
            <w:pPr>
              <w:pStyle w:val="ListParagraph"/>
              <w:spacing w:after="0" w:line="240" w:lineRule="auto"/>
              <w:ind w:left="0"/>
              <w:jc w:val="center"/>
              <w:rPr>
                <w:rFonts w:ascii="Times New Roman" w:hAnsi="Times New Roman"/>
                <w:b/>
                <w:sz w:val="24"/>
                <w:szCs w:val="24"/>
              </w:rPr>
            </w:pPr>
            <w:r w:rsidRPr="00F61625">
              <w:rPr>
                <w:rFonts w:ascii="Times New Roman" w:hAnsi="Times New Roman"/>
                <w:b/>
                <w:sz w:val="24"/>
                <w:szCs w:val="24"/>
              </w:rPr>
              <w:t>Максимальное количество баллов по показателю</w:t>
            </w:r>
          </w:p>
        </w:tc>
        <w:tc>
          <w:tcPr>
            <w:tcW w:w="1879" w:type="dxa"/>
            <w:shd w:val="clear" w:color="auto" w:fill="F2F2F2"/>
          </w:tcPr>
          <w:p w:rsidR="003277F1" w:rsidRPr="00F61625" w:rsidRDefault="003277F1" w:rsidP="00F61625">
            <w:pPr>
              <w:pStyle w:val="ListParagraph"/>
              <w:spacing w:after="0" w:line="240" w:lineRule="auto"/>
              <w:ind w:left="0"/>
              <w:jc w:val="center"/>
              <w:rPr>
                <w:rFonts w:ascii="Times New Roman" w:hAnsi="Times New Roman"/>
                <w:b/>
                <w:sz w:val="24"/>
                <w:szCs w:val="24"/>
              </w:rPr>
            </w:pPr>
            <w:r w:rsidRPr="00F61625">
              <w:rPr>
                <w:rFonts w:ascii="Times New Roman" w:hAnsi="Times New Roman"/>
                <w:b/>
                <w:sz w:val="24"/>
                <w:szCs w:val="24"/>
              </w:rPr>
              <w:t>8</w:t>
            </w:r>
          </w:p>
        </w:tc>
        <w:tc>
          <w:tcPr>
            <w:tcW w:w="1217" w:type="dxa"/>
            <w:shd w:val="clear" w:color="auto" w:fill="F2F2F2"/>
          </w:tcPr>
          <w:p w:rsidR="003277F1" w:rsidRPr="00F61625" w:rsidRDefault="003277F1" w:rsidP="00F61625">
            <w:pPr>
              <w:pStyle w:val="ListParagraph"/>
              <w:spacing w:after="0" w:line="240" w:lineRule="auto"/>
              <w:ind w:left="0"/>
              <w:jc w:val="center"/>
              <w:rPr>
                <w:rFonts w:ascii="Times New Roman" w:hAnsi="Times New Roman"/>
                <w:b/>
                <w:sz w:val="24"/>
                <w:szCs w:val="24"/>
              </w:rPr>
            </w:pPr>
            <w:r w:rsidRPr="00F61625">
              <w:rPr>
                <w:rFonts w:ascii="Times New Roman" w:hAnsi="Times New Roman"/>
                <w:b/>
                <w:sz w:val="24"/>
                <w:szCs w:val="24"/>
              </w:rPr>
              <w:t>8</w:t>
            </w:r>
          </w:p>
        </w:tc>
      </w:tr>
      <w:tr w:rsidR="003277F1" w:rsidRPr="00F61625" w:rsidTr="00F61625">
        <w:tc>
          <w:tcPr>
            <w:tcW w:w="10682" w:type="dxa"/>
            <w:gridSpan w:val="4"/>
            <w:shd w:val="clear" w:color="auto" w:fill="FFFF00"/>
          </w:tcPr>
          <w:p w:rsidR="003277F1" w:rsidRPr="00F61625" w:rsidRDefault="003277F1" w:rsidP="00F61625">
            <w:pPr>
              <w:pStyle w:val="ListParagraph"/>
              <w:spacing w:after="0" w:line="240" w:lineRule="auto"/>
              <w:ind w:left="0"/>
              <w:jc w:val="both"/>
              <w:rPr>
                <w:rFonts w:ascii="Times New Roman" w:hAnsi="Times New Roman"/>
                <w:b/>
                <w:sz w:val="24"/>
                <w:szCs w:val="24"/>
              </w:rPr>
            </w:pPr>
            <w:r w:rsidRPr="00F61625">
              <w:rPr>
                <w:rFonts w:ascii="Times New Roman" w:hAnsi="Times New Roman"/>
                <w:b/>
                <w:sz w:val="24"/>
                <w:szCs w:val="24"/>
              </w:rPr>
              <w:t>III. Показатели, характеризующие общий критерий оценки качества развивающей предметно-пространственной среды, касающийся полифункциональности материалов</w:t>
            </w: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3.1</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Наличие в организации пространства группы и расположении материалов,  различных составляющих предметной среды (детской мебели, матов, мягких модулей, ширм и т.д.) для разнообразного использования в разных видах детской активности</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3.2</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Наличие в организации пространства полифункциональных предметов и материалов не обладающих жестко закрепленным способом употребления (есть возможность перенести (перевезти), переставить)</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3.3</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Наличие в организации пространства природных, бросовых материалов, пригодных для использования в разных видах детской активности (в том числе в качестве предметов-заместителей в детской игре)</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3.4</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В организации пространства отражена мобильность средового окружения позволяющая обеспечить новизну и сложность предметно-пространственной среды</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3.5</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Полифункциональный характер организации предметного окружения обеспечивает стимулирование творческого поведения, побуждающего фантазию ребенка, поставляет множество элементов для работы воображения, продуктивной активности</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3.6</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В организации пространства детям обеспечена возможность практического участия в преобразовании предметной среды, основанного на приобщении детей к выразительным средствам оформительского искусства как условия формирования творческой активности ребенка</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3.7</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В организации пространства группы, участка обеспечена возможность его изменения в соответствии с игровыми и педагогическими задачами, в т.ч. посредством подручных средств для различных временных сооружений (домиков, игровых уголков, оград и пр.).</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3.8</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В организации пространства участка предоставлена возможность использования одних и тех же объектов участка (постройки, не имеющие четкого образа, и природные объекты (низкие кустарники, деревья, пеньки и пр.), для разных видов детской деятельности, которые можно использовать в качестве маркеров игрового пространства, мест для общения, игры, исследования и уединения и т. п.</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3.9</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В организации пространства участка предоставлены подручные материалы для преобразования этого пространства, подстраивания его под те или иные игровые или педагогические задачи, обеспечение опыта построения собственных игровых пространств на прогулке, использования подручного материала для этой цели</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7586" w:type="dxa"/>
            <w:gridSpan w:val="2"/>
            <w:shd w:val="clear" w:color="auto" w:fill="F2F2F2"/>
          </w:tcPr>
          <w:p w:rsidR="003277F1" w:rsidRPr="00F61625" w:rsidRDefault="003277F1" w:rsidP="00AD0A97">
            <w:pPr>
              <w:pStyle w:val="ListParagraph"/>
              <w:spacing w:after="0" w:line="240" w:lineRule="auto"/>
              <w:ind w:left="0"/>
              <w:jc w:val="center"/>
              <w:rPr>
                <w:rFonts w:ascii="Times New Roman" w:hAnsi="Times New Roman"/>
                <w:b/>
                <w:sz w:val="24"/>
                <w:szCs w:val="24"/>
              </w:rPr>
            </w:pPr>
            <w:r w:rsidRPr="00F61625">
              <w:rPr>
                <w:rFonts w:ascii="Times New Roman" w:hAnsi="Times New Roman"/>
                <w:b/>
                <w:sz w:val="24"/>
                <w:szCs w:val="24"/>
              </w:rPr>
              <w:t>Максимальное количество баллов по показателю</w:t>
            </w:r>
          </w:p>
        </w:tc>
        <w:tc>
          <w:tcPr>
            <w:tcW w:w="1879" w:type="dxa"/>
            <w:shd w:val="clear" w:color="auto" w:fill="F2F2F2"/>
          </w:tcPr>
          <w:p w:rsidR="003277F1" w:rsidRPr="00F61625" w:rsidRDefault="003277F1" w:rsidP="00F61625">
            <w:pPr>
              <w:pStyle w:val="ListParagraph"/>
              <w:spacing w:after="0" w:line="240" w:lineRule="auto"/>
              <w:ind w:left="0"/>
              <w:jc w:val="center"/>
              <w:rPr>
                <w:rFonts w:ascii="Times New Roman" w:hAnsi="Times New Roman"/>
                <w:b/>
                <w:sz w:val="24"/>
                <w:szCs w:val="24"/>
              </w:rPr>
            </w:pPr>
            <w:r w:rsidRPr="00F61625">
              <w:rPr>
                <w:rFonts w:ascii="Times New Roman" w:hAnsi="Times New Roman"/>
                <w:b/>
                <w:sz w:val="24"/>
                <w:szCs w:val="24"/>
              </w:rPr>
              <w:t>18</w:t>
            </w:r>
          </w:p>
        </w:tc>
        <w:tc>
          <w:tcPr>
            <w:tcW w:w="1217" w:type="dxa"/>
            <w:shd w:val="clear" w:color="auto" w:fill="F2F2F2"/>
          </w:tcPr>
          <w:p w:rsidR="003277F1" w:rsidRPr="00F61625" w:rsidRDefault="003277F1" w:rsidP="00F61625">
            <w:pPr>
              <w:pStyle w:val="ListParagraph"/>
              <w:spacing w:after="0" w:line="240" w:lineRule="auto"/>
              <w:ind w:left="0"/>
              <w:jc w:val="center"/>
              <w:rPr>
                <w:rFonts w:ascii="Times New Roman" w:hAnsi="Times New Roman"/>
                <w:b/>
                <w:sz w:val="24"/>
                <w:szCs w:val="24"/>
              </w:rPr>
            </w:pPr>
            <w:r w:rsidRPr="00F61625">
              <w:rPr>
                <w:rFonts w:ascii="Times New Roman" w:hAnsi="Times New Roman"/>
                <w:b/>
                <w:sz w:val="24"/>
                <w:szCs w:val="24"/>
              </w:rPr>
              <w:t>18</w:t>
            </w:r>
          </w:p>
        </w:tc>
      </w:tr>
      <w:tr w:rsidR="003277F1" w:rsidRPr="00F61625" w:rsidTr="00F61625">
        <w:tc>
          <w:tcPr>
            <w:tcW w:w="10682" w:type="dxa"/>
            <w:gridSpan w:val="4"/>
            <w:shd w:val="clear" w:color="auto" w:fill="FFFF00"/>
          </w:tcPr>
          <w:p w:rsidR="003277F1" w:rsidRPr="00F61625" w:rsidRDefault="003277F1" w:rsidP="00F61625">
            <w:pPr>
              <w:pStyle w:val="ListParagraph"/>
              <w:spacing w:after="0" w:line="240" w:lineRule="auto"/>
              <w:ind w:left="0"/>
              <w:rPr>
                <w:rFonts w:ascii="Times New Roman" w:hAnsi="Times New Roman"/>
                <w:b/>
                <w:sz w:val="24"/>
                <w:szCs w:val="24"/>
              </w:rPr>
            </w:pPr>
            <w:r w:rsidRPr="00F61625">
              <w:rPr>
                <w:rFonts w:ascii="Times New Roman" w:hAnsi="Times New Roman"/>
                <w:b/>
                <w:sz w:val="24"/>
                <w:szCs w:val="24"/>
              </w:rPr>
              <w:t>IV. Показатели, характеризующие общий критерий оценки качества развивающей предметно-пространственной среды, касающиеся ее вариативности</w:t>
            </w:r>
          </w:p>
          <w:p w:rsidR="003277F1" w:rsidRPr="00F61625" w:rsidRDefault="003277F1" w:rsidP="00F61625">
            <w:pPr>
              <w:pStyle w:val="ListParagraph"/>
              <w:spacing w:after="0" w:line="240" w:lineRule="auto"/>
              <w:ind w:left="0"/>
              <w:rPr>
                <w:rFonts w:ascii="Times New Roman" w:hAnsi="Times New Roman"/>
                <w:b/>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4.1</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В организации пространства учтены особенности образовательной деятельности (например, наличие приоритетной направленности), социокультурные, экономические условия</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4.2</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В организации пространства учтены возможности и потребности участников образовательных отношений (детей и их семей, педагогов и других сотрудников образовательной организации, участников сетевого взаимодействия и пр.)</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4.3</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 xml:space="preserve">В организации пространства обеспечен учет специфики информационной социализации и рисков Интернет-ресурсов  </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4.4</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Наличие различных пространств (для игры, конструирования и пр.) в группе, на территории образовательной организации</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4.5</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Наличие разнообразных материалов, игр, игрушек и оборудования, обеспечивающих свободный выбор детей</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4.6</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В организации пространства (группы, здания, территории (участка) предусмотрено обеспечение периодической сменяемости игрового материала, появление новых предметов, стимулирующих игровую, двигательную, познавательную и исследовательскую активность детей</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4.7</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В организации пространства учитывается гендерная специфика</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4.8</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В организации пространства обеспечена возможность разнообразного использования объекта внутри одного вида деятельности</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4.9</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В организации пространства используются игровые объекты, которые вариативно используются детьми (например, на горке, дети поднимаются и спускаются различными способами, катаются и качаются, цепляются).</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4.10</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В организации пространства участка обеспечено разноуровневое расположение объектов (пеньки, земляные насыпи, горки), что обеспечивает возможность для разнообразных движений, пробы самых разных движений, поиска границ своих возможностей, развития двигательной компетентности, собственной безопасности, координации, образа пространства и телесного образа себя</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7586" w:type="dxa"/>
            <w:gridSpan w:val="2"/>
            <w:shd w:val="clear" w:color="auto" w:fill="F2F2F2"/>
          </w:tcPr>
          <w:p w:rsidR="003277F1" w:rsidRPr="00F61625" w:rsidRDefault="003277F1" w:rsidP="00094920">
            <w:pPr>
              <w:pStyle w:val="ListParagraph"/>
              <w:spacing w:after="0" w:line="240" w:lineRule="auto"/>
              <w:ind w:left="0"/>
              <w:jc w:val="center"/>
              <w:rPr>
                <w:rFonts w:ascii="Times New Roman" w:hAnsi="Times New Roman"/>
                <w:b/>
                <w:sz w:val="24"/>
                <w:szCs w:val="24"/>
              </w:rPr>
            </w:pPr>
            <w:r w:rsidRPr="00F61625">
              <w:rPr>
                <w:rFonts w:ascii="Times New Roman" w:hAnsi="Times New Roman"/>
                <w:b/>
                <w:sz w:val="24"/>
                <w:szCs w:val="24"/>
              </w:rPr>
              <w:t>Максимальное количество баллов по показателю</w:t>
            </w:r>
          </w:p>
        </w:tc>
        <w:tc>
          <w:tcPr>
            <w:tcW w:w="1879" w:type="dxa"/>
            <w:shd w:val="clear" w:color="auto" w:fill="F2F2F2"/>
          </w:tcPr>
          <w:p w:rsidR="003277F1" w:rsidRPr="00F61625" w:rsidRDefault="003277F1" w:rsidP="00F61625">
            <w:pPr>
              <w:pStyle w:val="ListParagraph"/>
              <w:spacing w:after="0" w:line="240" w:lineRule="auto"/>
              <w:ind w:left="0"/>
              <w:jc w:val="center"/>
              <w:rPr>
                <w:rFonts w:ascii="Times New Roman" w:hAnsi="Times New Roman"/>
                <w:b/>
                <w:sz w:val="24"/>
                <w:szCs w:val="24"/>
              </w:rPr>
            </w:pPr>
            <w:r w:rsidRPr="00F61625">
              <w:rPr>
                <w:rFonts w:ascii="Times New Roman" w:hAnsi="Times New Roman"/>
                <w:b/>
                <w:sz w:val="24"/>
                <w:szCs w:val="24"/>
              </w:rPr>
              <w:t>20</w:t>
            </w:r>
          </w:p>
        </w:tc>
        <w:tc>
          <w:tcPr>
            <w:tcW w:w="1217" w:type="dxa"/>
            <w:shd w:val="clear" w:color="auto" w:fill="F2F2F2"/>
          </w:tcPr>
          <w:p w:rsidR="003277F1" w:rsidRPr="00F61625" w:rsidRDefault="003277F1" w:rsidP="00F61625">
            <w:pPr>
              <w:pStyle w:val="ListParagraph"/>
              <w:spacing w:after="0" w:line="240" w:lineRule="auto"/>
              <w:ind w:left="0"/>
              <w:jc w:val="center"/>
              <w:rPr>
                <w:rFonts w:ascii="Times New Roman" w:hAnsi="Times New Roman"/>
                <w:b/>
                <w:sz w:val="24"/>
                <w:szCs w:val="24"/>
              </w:rPr>
            </w:pPr>
            <w:r w:rsidRPr="00F61625">
              <w:rPr>
                <w:rFonts w:ascii="Times New Roman" w:hAnsi="Times New Roman"/>
                <w:b/>
                <w:sz w:val="24"/>
                <w:szCs w:val="24"/>
              </w:rPr>
              <w:t>20</w:t>
            </w:r>
          </w:p>
        </w:tc>
      </w:tr>
      <w:tr w:rsidR="003277F1" w:rsidRPr="00F61625" w:rsidTr="00F61625">
        <w:tc>
          <w:tcPr>
            <w:tcW w:w="10682" w:type="dxa"/>
            <w:gridSpan w:val="4"/>
            <w:shd w:val="clear" w:color="auto" w:fill="FFFF00"/>
          </w:tcPr>
          <w:p w:rsidR="003277F1" w:rsidRPr="00F61625" w:rsidRDefault="003277F1" w:rsidP="00F61625">
            <w:pPr>
              <w:pStyle w:val="ListParagraph"/>
              <w:spacing w:after="0" w:line="240" w:lineRule="auto"/>
              <w:ind w:left="0"/>
              <w:rPr>
                <w:rFonts w:ascii="Times New Roman" w:hAnsi="Times New Roman"/>
                <w:b/>
                <w:sz w:val="24"/>
                <w:szCs w:val="24"/>
              </w:rPr>
            </w:pPr>
            <w:r w:rsidRPr="00F61625">
              <w:rPr>
                <w:rFonts w:ascii="Times New Roman" w:hAnsi="Times New Roman"/>
                <w:b/>
                <w:sz w:val="24"/>
                <w:szCs w:val="24"/>
              </w:rPr>
              <w:t>V. Показатели, характеризующие общий критерий оценки качества развивающей предметно-пространственной среды, касающиеся ее доступности</w:t>
            </w: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5.1</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В организации пространства, в групповых и других помещениях, предназначенных для образовательной деятельности детей (музыкальном, спортивном залах</w:t>
            </w:r>
            <w:r>
              <w:rPr>
                <w:rFonts w:ascii="Times New Roman" w:hAnsi="Times New Roman"/>
                <w:sz w:val="24"/>
                <w:szCs w:val="24"/>
              </w:rPr>
              <w:t xml:space="preserve">, зимнем саду, изостудии, </w:t>
            </w:r>
            <w:r w:rsidRPr="00F61625">
              <w:rPr>
                <w:rFonts w:ascii="Times New Roman" w:hAnsi="Times New Roman"/>
                <w:sz w:val="24"/>
                <w:szCs w:val="24"/>
              </w:rPr>
              <w:t xml:space="preserve"> и др.), обеспечены условия для общения и совместной деятельности детей как со взрослыми, так и со сверстниками в разных групповых сочетаниях </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5.2</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 xml:space="preserve">В организации пространства организованы условия, при которых дети имеют возможность собираться для игр и занятий всей группой вместе, а также </w:t>
            </w:r>
          </w:p>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объединяться в малые группы в соответствии со своими интересами</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5.3</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В организации пространства прилегающих территорий здания образовательной организации выделены зоны для общения и совместной деятельности больших и малых групп детей из разных возрастных групп и взрослых, в том числе для использования методов проектирования как средств поисковой, познавательно-исследовательской, творческой, игровой и др. видов деятельности детей</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5.4</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 xml:space="preserve">В организации пространства здания, территории (участка) обеспечена доступность для воспитанников, в том числе детей с ограниченными возможностями здоровья и детей-инвалидов, всех помещений, где осуществляется образовательная деятельность </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5.5</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В организации пространства группы обеспечена доступность для воспитанников, в том числе детей с ограниченными возможностями здоровья и детей инвалидов, всех помещений, где осуществляется образовательная деятельность</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5.6</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В организации пространства здания, территории (участка) обеспечен свободный доступ детей, в том числе детей с ограниченными возможностями здоровья, к играм, игрушкам, материалам, пособиям, обеспечивающим все основные виды детской активности</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5.7</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В организации пространства группы обеспечен свободный доступ детей, в том числе детей с ограниченными возможностями здоровья, к играм, игрушкам, материалам, пособиям, обеспечивающим все основные виды детской активности</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5.8</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В организации пространства обеспечена возможность для обсуждения родителями (законными представителями) детей вопросов, связанных с реализацией Программы</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5.9</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 xml:space="preserve">В организации пространства обеспечена возможность для ознакомления родителей (законных представителей) детей с организацией развивающей предметно-пространственной среды в семейных условиях, для соблюдения единства семейного и общественного воспитания, что способствует конструктивному взаимодействию семьи и образовательной организации в целях поддержки индивидуальности ребенка в ходе реализации Программы </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5.10</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Наличие в группах различных центров активности, образованных при расположении мебели, крупного игрового оборудования не только по периметру (вдоль стен), но и во внутреннем пространстве группы (не менее пяти), дающих возможность детям приобрести разнообразный опыт в самостоятельной (творческой, познавательной, продуктивной, трудовой, конструктивной, социально-ориентированной, двигательной) деятельности (стеллажи, контейнеры для хранения игрушек, материалов с надписями (отличительными знаками, символами), а также дополнительных материалов, для изменения, дополнения обустройства центров активности</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5.11</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В организации пространства группы, участка обеспечена возможность периодической смены игрового материала, появления новых предметов, стимулирующих игровую, двигательную, познавательную и исследовательскую активность детей</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5.12</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В организации пространства группы, участка обеспечена возможность более одного места для уединения, что позволяет организовывать непрерывную образовательную деятельность для одного или двух - трех детей отдельно от занятий основной группы с использованием уединенного места</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5.13</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В организации пространства группы, участка   обеспечена адекватность объектов росту и двигательным возможностям детей (разнообразие ростовых характеристик объектов)</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5.14</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В организации пространства группы, участка обеспечено сочетание открытых пространств и  мест для спокойной игры и  уединения, как условие психологического комфорта</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7586" w:type="dxa"/>
            <w:gridSpan w:val="2"/>
            <w:shd w:val="clear" w:color="auto" w:fill="F2F2F2"/>
          </w:tcPr>
          <w:p w:rsidR="003277F1" w:rsidRPr="00F61625" w:rsidRDefault="003277F1" w:rsidP="00094920">
            <w:pPr>
              <w:pStyle w:val="ListParagraph"/>
              <w:spacing w:after="0" w:line="240" w:lineRule="auto"/>
              <w:ind w:left="0"/>
              <w:jc w:val="center"/>
              <w:rPr>
                <w:rFonts w:ascii="Times New Roman" w:hAnsi="Times New Roman"/>
                <w:b/>
                <w:sz w:val="24"/>
                <w:szCs w:val="24"/>
              </w:rPr>
            </w:pPr>
            <w:r w:rsidRPr="00F61625">
              <w:rPr>
                <w:rFonts w:ascii="Times New Roman" w:hAnsi="Times New Roman"/>
                <w:b/>
                <w:sz w:val="24"/>
                <w:szCs w:val="24"/>
              </w:rPr>
              <w:t>Максимальное количество баллов по показателю</w:t>
            </w:r>
          </w:p>
        </w:tc>
        <w:tc>
          <w:tcPr>
            <w:tcW w:w="1879" w:type="dxa"/>
            <w:shd w:val="clear" w:color="auto" w:fill="F2F2F2"/>
          </w:tcPr>
          <w:p w:rsidR="003277F1" w:rsidRPr="00F61625" w:rsidRDefault="003277F1" w:rsidP="00F61625">
            <w:pPr>
              <w:pStyle w:val="ListParagraph"/>
              <w:spacing w:after="0" w:line="240" w:lineRule="auto"/>
              <w:ind w:left="0"/>
              <w:jc w:val="center"/>
              <w:rPr>
                <w:rFonts w:ascii="Times New Roman" w:hAnsi="Times New Roman"/>
                <w:b/>
                <w:sz w:val="24"/>
                <w:szCs w:val="24"/>
              </w:rPr>
            </w:pPr>
            <w:r w:rsidRPr="00F61625">
              <w:rPr>
                <w:rFonts w:ascii="Times New Roman" w:hAnsi="Times New Roman"/>
                <w:b/>
                <w:sz w:val="24"/>
                <w:szCs w:val="24"/>
              </w:rPr>
              <w:t>28</w:t>
            </w:r>
          </w:p>
        </w:tc>
        <w:tc>
          <w:tcPr>
            <w:tcW w:w="1217" w:type="dxa"/>
            <w:shd w:val="clear" w:color="auto" w:fill="F2F2F2"/>
          </w:tcPr>
          <w:p w:rsidR="003277F1" w:rsidRPr="00F61625" w:rsidRDefault="003277F1" w:rsidP="00F61625">
            <w:pPr>
              <w:pStyle w:val="ListParagraph"/>
              <w:spacing w:after="0" w:line="240" w:lineRule="auto"/>
              <w:ind w:left="0"/>
              <w:jc w:val="center"/>
              <w:rPr>
                <w:rFonts w:ascii="Times New Roman" w:hAnsi="Times New Roman"/>
                <w:b/>
                <w:sz w:val="24"/>
                <w:szCs w:val="24"/>
              </w:rPr>
            </w:pPr>
            <w:r w:rsidRPr="00F61625">
              <w:rPr>
                <w:rFonts w:ascii="Times New Roman" w:hAnsi="Times New Roman"/>
                <w:b/>
                <w:sz w:val="24"/>
                <w:szCs w:val="24"/>
              </w:rPr>
              <w:t>28</w:t>
            </w:r>
          </w:p>
        </w:tc>
      </w:tr>
      <w:tr w:rsidR="003277F1" w:rsidRPr="00F61625" w:rsidTr="00F61625">
        <w:tc>
          <w:tcPr>
            <w:tcW w:w="10682" w:type="dxa"/>
            <w:gridSpan w:val="4"/>
            <w:shd w:val="clear" w:color="auto" w:fill="FFFF00"/>
          </w:tcPr>
          <w:p w:rsidR="003277F1" w:rsidRPr="00F61625" w:rsidRDefault="003277F1" w:rsidP="00F61625">
            <w:pPr>
              <w:spacing w:after="0" w:line="240" w:lineRule="auto"/>
              <w:rPr>
                <w:rFonts w:ascii="Times New Roman" w:hAnsi="Times New Roman"/>
                <w:b/>
                <w:sz w:val="24"/>
                <w:szCs w:val="24"/>
              </w:rPr>
            </w:pPr>
            <w:r w:rsidRPr="00F61625">
              <w:rPr>
                <w:rFonts w:ascii="Times New Roman" w:hAnsi="Times New Roman"/>
                <w:b/>
                <w:sz w:val="24"/>
                <w:szCs w:val="24"/>
              </w:rPr>
              <w:t xml:space="preserve">VI. Показатели, характеризующие общий критерий оценки качества развивающей предметно-пространственной среды, касающиеся безопасности предметно-пространственной среды </w:t>
            </w:r>
          </w:p>
          <w:p w:rsidR="003277F1" w:rsidRPr="00F61625" w:rsidRDefault="003277F1" w:rsidP="00F61625">
            <w:pPr>
              <w:pStyle w:val="ListParagraph"/>
              <w:spacing w:after="0" w:line="240" w:lineRule="auto"/>
              <w:ind w:left="0"/>
              <w:rPr>
                <w:rFonts w:ascii="Times New Roman" w:hAnsi="Times New Roman"/>
                <w:b/>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6.1</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Образовательное пространство и все его элементы отвечают требованиям по обеспечению надежности и безопасности их использования, такими как санитарно-эпидемиологические правила и нормативы и правила пожарной безопасности</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6.2</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Образовательное пространство организовано с учетом специфики информационной социализации детей и правил безопасного пользования Интернетом: игровой, коммуникативной, познавательно-исследовательской, двигательной, конструирования, восприятия произведений словесного, музыкального и изобразительного творчества, продуктивной деятельности и пр. в соответствии с потребностями каждого возрастного этапа детей, охраны и укрепления их здоровья, возможностями учета особенностей и коррекции недостатков их развития</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6.3</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В образовательном пространстве групповых, а также в иных помещениях образовательной организации обеспечена возможность подключения к Всемирной информационно-телекоммуникационной сети Интернет  посредством кабельной проводки, а также с помощью технологии Wi-Fi</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6.4</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В организации пространства здания, участка используются исправные и сохранные материалы и оборудование</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6.5</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В организации предметно-пространственной среды группы используются исправные и сохранные материалы и оборудование</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6.6</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В организации пространства обеспечены условия для проведения диагностики состояния здоровья детей, медицинских процедур, коррекционных и профилактических мероприятий</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6.7</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В организации пространства учитывается необходимость обеспечения эмоциональное благополучия детей во взаимодействии с предметно-пространственным окружением и комфортные условия для работы сотрудников образовательной организации</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6.8</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В организации предметно-пространственной среды групповых и других помещений обеспечено достаточно пространства для свободного передвижения детей, а также выделены помещения или зоны для разных видов двигательной активности детей - бега, прыжков, лазания, метания и др.</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6.9</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 xml:space="preserve">В организации пространства обеспечена возможность для максимального рассредоточения детей в групповом блоке (рациональное использование всех помещений, игровая, спальня и приемная) </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6.10</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В организации предметно-пространственной среды дети имеют возможность безопасного доступа к объектам инфраструктуры образовательной организации, а также к играм, игрушкам, материалам, пособиям, обеспечивающим все основные виды детской активности</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6.11</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В помещениях образовательной организации достаточно места для специального оборудования для детей с ограниченными возможностями, имеется специально приспособленная мебель, позволяющая безопасно заниматься разными видами деятельности, общаться и играть со сверстниками</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6.12</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В организации пространства территории образовательной организации организована защита от погодных явлений (снег, ветер, солнце и пр.)</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6.13</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 xml:space="preserve">В организации пространства участка, на одного ребенка дошкольного возраста (от 3 до 7 лет) приходится не меньше </w:t>
            </w:r>
            <w:smartTag w:uri="urn:schemas-microsoft-com:office:smarttags" w:element="metricconverter">
              <w:smartTagPr>
                <w:attr w:name="ProductID" w:val="9 кв. м"/>
              </w:smartTagPr>
              <w:r w:rsidRPr="00F61625">
                <w:rPr>
                  <w:rFonts w:ascii="Times New Roman" w:hAnsi="Times New Roman"/>
                  <w:sz w:val="24"/>
                  <w:szCs w:val="24"/>
                </w:rPr>
                <w:t>9 кв. м</w:t>
              </w:r>
            </w:smartTag>
            <w:r w:rsidRPr="00F61625">
              <w:rPr>
                <w:rFonts w:ascii="Times New Roman" w:hAnsi="Times New Roman"/>
                <w:sz w:val="24"/>
                <w:szCs w:val="24"/>
              </w:rPr>
              <w:t xml:space="preserve"> площади участка (согласно п. 3.6 СанПиН 2.4.1.3049-13)</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6.14</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 xml:space="preserve">Маятниковые качели на участках расположены безопасно (согласно ГОСТ Р 52169–2012 ) в </w:t>
            </w:r>
            <w:smartTag w:uri="urn:schemas-microsoft-com:office:smarttags" w:element="metricconverter">
              <w:smartTagPr>
                <w:attr w:name="ProductID" w:val="1,5 м"/>
              </w:smartTagPr>
              <w:r w:rsidRPr="00F61625">
                <w:rPr>
                  <w:rFonts w:ascii="Times New Roman" w:hAnsi="Times New Roman"/>
                  <w:sz w:val="24"/>
                  <w:szCs w:val="24"/>
                </w:rPr>
                <w:t>1,5 м</w:t>
              </w:r>
            </w:smartTag>
            <w:r w:rsidRPr="00F61625">
              <w:rPr>
                <w:rFonts w:ascii="Times New Roman" w:hAnsi="Times New Roman"/>
                <w:sz w:val="24"/>
                <w:szCs w:val="24"/>
              </w:rPr>
              <w:t>. от стоек и зоны движения во всех направлениях</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6.15</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В организации пространства территории образовательной организации зеленые насаж</w:t>
            </w:r>
            <w:r>
              <w:rPr>
                <w:rFonts w:ascii="Times New Roman" w:hAnsi="Times New Roman"/>
                <w:sz w:val="24"/>
                <w:szCs w:val="24"/>
              </w:rPr>
              <w:t>дения занимают 50% (</w:t>
            </w:r>
            <w:r w:rsidRPr="00F61625">
              <w:rPr>
                <w:rFonts w:ascii="Times New Roman" w:hAnsi="Times New Roman"/>
                <w:sz w:val="24"/>
                <w:szCs w:val="24"/>
              </w:rPr>
              <w:t>в соответствии с п. 3.1 СанПиН 2.4.1.3049-13) территории участка ДОО</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7586" w:type="dxa"/>
            <w:gridSpan w:val="2"/>
            <w:shd w:val="clear" w:color="auto" w:fill="F2F2F2"/>
          </w:tcPr>
          <w:p w:rsidR="003277F1" w:rsidRPr="00F61625" w:rsidRDefault="003277F1" w:rsidP="00094920">
            <w:pPr>
              <w:pStyle w:val="ListParagraph"/>
              <w:spacing w:after="0" w:line="240" w:lineRule="auto"/>
              <w:ind w:left="0"/>
              <w:jc w:val="center"/>
              <w:rPr>
                <w:rFonts w:ascii="Times New Roman" w:hAnsi="Times New Roman"/>
                <w:b/>
                <w:sz w:val="24"/>
                <w:szCs w:val="24"/>
              </w:rPr>
            </w:pPr>
            <w:r w:rsidRPr="00F61625">
              <w:rPr>
                <w:rFonts w:ascii="Times New Roman" w:hAnsi="Times New Roman"/>
                <w:b/>
                <w:sz w:val="24"/>
                <w:szCs w:val="24"/>
              </w:rPr>
              <w:t>Максимальное количество баллов по показателю</w:t>
            </w:r>
          </w:p>
        </w:tc>
        <w:tc>
          <w:tcPr>
            <w:tcW w:w="1879" w:type="dxa"/>
            <w:shd w:val="clear" w:color="auto" w:fill="F2F2F2"/>
          </w:tcPr>
          <w:p w:rsidR="003277F1" w:rsidRPr="00F61625" w:rsidRDefault="003277F1" w:rsidP="00F61625">
            <w:pPr>
              <w:pStyle w:val="ListParagraph"/>
              <w:spacing w:after="0" w:line="240" w:lineRule="auto"/>
              <w:ind w:left="0"/>
              <w:jc w:val="center"/>
              <w:rPr>
                <w:rFonts w:ascii="Times New Roman" w:hAnsi="Times New Roman"/>
                <w:b/>
                <w:sz w:val="24"/>
                <w:szCs w:val="24"/>
              </w:rPr>
            </w:pPr>
            <w:r w:rsidRPr="00F61625">
              <w:rPr>
                <w:rFonts w:ascii="Times New Roman" w:hAnsi="Times New Roman"/>
                <w:b/>
                <w:sz w:val="24"/>
                <w:szCs w:val="24"/>
              </w:rPr>
              <w:t>30</w:t>
            </w:r>
          </w:p>
        </w:tc>
        <w:tc>
          <w:tcPr>
            <w:tcW w:w="1217" w:type="dxa"/>
            <w:shd w:val="clear" w:color="auto" w:fill="F2F2F2"/>
          </w:tcPr>
          <w:p w:rsidR="003277F1" w:rsidRPr="00F61625" w:rsidRDefault="003277F1" w:rsidP="00F61625">
            <w:pPr>
              <w:pStyle w:val="ListParagraph"/>
              <w:spacing w:after="0" w:line="240" w:lineRule="auto"/>
              <w:ind w:left="0"/>
              <w:jc w:val="center"/>
              <w:rPr>
                <w:rFonts w:ascii="Times New Roman" w:hAnsi="Times New Roman"/>
                <w:b/>
                <w:sz w:val="24"/>
                <w:szCs w:val="24"/>
              </w:rPr>
            </w:pPr>
            <w:r w:rsidRPr="00F61625">
              <w:rPr>
                <w:rFonts w:ascii="Times New Roman" w:hAnsi="Times New Roman"/>
                <w:b/>
                <w:sz w:val="24"/>
                <w:szCs w:val="24"/>
              </w:rPr>
              <w:t>30</w:t>
            </w:r>
          </w:p>
        </w:tc>
      </w:tr>
      <w:tr w:rsidR="003277F1" w:rsidRPr="00F61625" w:rsidTr="00F61625">
        <w:tc>
          <w:tcPr>
            <w:tcW w:w="10682" w:type="dxa"/>
            <w:gridSpan w:val="4"/>
            <w:shd w:val="clear" w:color="auto" w:fill="FFFF00"/>
          </w:tcPr>
          <w:p w:rsidR="003277F1" w:rsidRPr="00F61625" w:rsidRDefault="003277F1" w:rsidP="00F61625">
            <w:pPr>
              <w:pStyle w:val="ListParagraph"/>
              <w:spacing w:after="0" w:line="240" w:lineRule="auto"/>
              <w:ind w:left="0"/>
              <w:jc w:val="both"/>
              <w:rPr>
                <w:rFonts w:ascii="Times New Roman" w:hAnsi="Times New Roman"/>
                <w:b/>
                <w:sz w:val="24"/>
                <w:szCs w:val="24"/>
              </w:rPr>
            </w:pPr>
            <w:r w:rsidRPr="00F61625">
              <w:rPr>
                <w:rFonts w:ascii="Times New Roman" w:hAnsi="Times New Roman"/>
                <w:b/>
                <w:sz w:val="24"/>
                <w:szCs w:val="24"/>
              </w:rPr>
              <w:t>VII. Показатели, характеризующие общий критерий оценки качества управления организационно-педагогической деятельностью руководителей, касающейся проектирования развивающей предметно-пространственной среды образовательной организации</w:t>
            </w: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7.1</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Организация развивающей предметно-пространственной среды (как функции управления) носит системно-средовой характер и определена как элемент целостного управленческого цикла, выполняющий в нем особую роль, имеющий специфическую цель, содержание, структуру, технологию реализации и взаимосвязанный с другими функциями управления образовательной организацией</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7.2</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 xml:space="preserve">Обеспечивается регулярный анализ информации о состоянии, эффективности развивающей предметно - пространственной среды в практике управления образовательной организации </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7.3</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 xml:space="preserve">Определено содержание организационно - педагогической деятельности руководителей образовательной организации в создании развивающей предметно-пространственной среды и технологии ее реализации </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7.4</w:t>
            </w:r>
          </w:p>
        </w:tc>
        <w:tc>
          <w:tcPr>
            <w:tcW w:w="7020"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 xml:space="preserve">Созданы условия реализации технологии организации развивающей среды:  </w:t>
            </w:r>
          </w:p>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 xml:space="preserve">- обеспечение мотивации педагогических кадров образовательной организации по созданию развивающей среды в соответствии с Программой;  </w:t>
            </w:r>
          </w:p>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 xml:space="preserve">- внедрение системы информационно-аналитического обеспечения организации развивающей предметно-пространственной среды;  </w:t>
            </w:r>
          </w:p>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 xml:space="preserve">- построение содержания организации развивающей среды с учетом конкретных особенностей образовательной организации;  </w:t>
            </w:r>
          </w:p>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 xml:space="preserve">- разработка и реализация программы повышения профессионализма управленческих и педагогических кадров непосредственно в образовательной организации, предусматривающей овладение ими теоретическими и практическими знаниями и умениями по созданию развивающей предметно-пространственной среды по Программе;  </w:t>
            </w:r>
          </w:p>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 обеспечение передачи частичных функций управления по организации субъектами образовательного процесса, на основе активизирующих креативных форм методической работы в образовательной организации по созданию развивающей предметно-пространственной среды</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566" w:type="dxa"/>
          </w:tcPr>
          <w:p w:rsidR="003277F1" w:rsidRPr="00F61625" w:rsidRDefault="003277F1" w:rsidP="00F61625">
            <w:pPr>
              <w:pStyle w:val="ListParagraph"/>
              <w:spacing w:after="0" w:line="240" w:lineRule="auto"/>
              <w:ind w:left="0"/>
              <w:rPr>
                <w:rFonts w:ascii="Times New Roman" w:hAnsi="Times New Roman"/>
                <w:sz w:val="24"/>
                <w:szCs w:val="24"/>
              </w:rPr>
            </w:pPr>
            <w:r w:rsidRPr="00F61625">
              <w:rPr>
                <w:rFonts w:ascii="Times New Roman" w:hAnsi="Times New Roman"/>
                <w:sz w:val="24"/>
                <w:szCs w:val="24"/>
              </w:rPr>
              <w:t>7.5</w:t>
            </w:r>
          </w:p>
        </w:tc>
        <w:tc>
          <w:tcPr>
            <w:tcW w:w="7020" w:type="dxa"/>
          </w:tcPr>
          <w:p w:rsidR="003277F1" w:rsidRPr="00F61625" w:rsidRDefault="003277F1" w:rsidP="00F61625">
            <w:pPr>
              <w:spacing w:after="0" w:line="240" w:lineRule="auto"/>
              <w:rPr>
                <w:rFonts w:ascii="Times New Roman" w:hAnsi="Times New Roman"/>
                <w:sz w:val="24"/>
                <w:szCs w:val="24"/>
              </w:rPr>
            </w:pPr>
            <w:r w:rsidRPr="00F61625">
              <w:rPr>
                <w:rFonts w:ascii="Times New Roman" w:hAnsi="Times New Roman"/>
                <w:sz w:val="24"/>
                <w:szCs w:val="24"/>
              </w:rPr>
              <w:t>Обеспечен контроль за интенсивностью естественного освещения, возможности управления вентиляцией</w:t>
            </w:r>
          </w:p>
        </w:tc>
        <w:tc>
          <w:tcPr>
            <w:tcW w:w="1879" w:type="dxa"/>
          </w:tcPr>
          <w:p w:rsidR="003277F1" w:rsidRPr="00F61625" w:rsidRDefault="003277F1" w:rsidP="00F61625">
            <w:pPr>
              <w:pStyle w:val="ListParagraph"/>
              <w:spacing w:after="0" w:line="240" w:lineRule="auto"/>
              <w:ind w:left="0"/>
              <w:rPr>
                <w:rFonts w:ascii="Times New Roman" w:hAnsi="Times New Roman"/>
                <w:sz w:val="24"/>
                <w:szCs w:val="24"/>
              </w:rPr>
            </w:pPr>
          </w:p>
        </w:tc>
        <w:tc>
          <w:tcPr>
            <w:tcW w:w="1217" w:type="dxa"/>
          </w:tcPr>
          <w:p w:rsidR="003277F1" w:rsidRPr="00F61625" w:rsidRDefault="003277F1" w:rsidP="00F61625">
            <w:pPr>
              <w:pStyle w:val="ListParagraph"/>
              <w:spacing w:after="0" w:line="240" w:lineRule="auto"/>
              <w:ind w:left="0"/>
              <w:rPr>
                <w:rFonts w:ascii="Times New Roman" w:hAnsi="Times New Roman"/>
                <w:sz w:val="24"/>
                <w:szCs w:val="24"/>
              </w:rPr>
            </w:pPr>
          </w:p>
        </w:tc>
      </w:tr>
      <w:tr w:rsidR="003277F1" w:rsidRPr="00F61625" w:rsidTr="00F61625">
        <w:tc>
          <w:tcPr>
            <w:tcW w:w="7586" w:type="dxa"/>
            <w:gridSpan w:val="2"/>
            <w:shd w:val="clear" w:color="auto" w:fill="F2F2F2"/>
          </w:tcPr>
          <w:p w:rsidR="003277F1" w:rsidRPr="00F61625" w:rsidRDefault="003277F1" w:rsidP="00094920">
            <w:pPr>
              <w:pStyle w:val="ListParagraph"/>
              <w:spacing w:after="0" w:line="240" w:lineRule="auto"/>
              <w:ind w:left="0"/>
              <w:jc w:val="center"/>
              <w:rPr>
                <w:rFonts w:ascii="Times New Roman" w:hAnsi="Times New Roman"/>
                <w:b/>
                <w:sz w:val="24"/>
                <w:szCs w:val="24"/>
              </w:rPr>
            </w:pPr>
            <w:r w:rsidRPr="00F61625">
              <w:rPr>
                <w:rFonts w:ascii="Times New Roman" w:hAnsi="Times New Roman"/>
                <w:b/>
                <w:sz w:val="24"/>
                <w:szCs w:val="24"/>
              </w:rPr>
              <w:t>Максимальное количество баллов по показателю</w:t>
            </w:r>
          </w:p>
        </w:tc>
        <w:tc>
          <w:tcPr>
            <w:tcW w:w="1879" w:type="dxa"/>
            <w:shd w:val="clear" w:color="auto" w:fill="F2F2F2"/>
          </w:tcPr>
          <w:p w:rsidR="003277F1" w:rsidRPr="00F61625" w:rsidRDefault="003277F1" w:rsidP="00F61625">
            <w:pPr>
              <w:pStyle w:val="ListParagraph"/>
              <w:spacing w:after="0" w:line="240" w:lineRule="auto"/>
              <w:ind w:left="0"/>
              <w:jc w:val="center"/>
              <w:rPr>
                <w:rFonts w:ascii="Times New Roman" w:hAnsi="Times New Roman"/>
                <w:b/>
                <w:sz w:val="24"/>
                <w:szCs w:val="24"/>
              </w:rPr>
            </w:pPr>
            <w:r w:rsidRPr="00F61625">
              <w:rPr>
                <w:rFonts w:ascii="Times New Roman" w:hAnsi="Times New Roman"/>
                <w:b/>
                <w:sz w:val="24"/>
                <w:szCs w:val="24"/>
              </w:rPr>
              <w:t>20</w:t>
            </w:r>
          </w:p>
        </w:tc>
        <w:tc>
          <w:tcPr>
            <w:tcW w:w="1217" w:type="dxa"/>
            <w:shd w:val="clear" w:color="auto" w:fill="F2F2F2"/>
          </w:tcPr>
          <w:p w:rsidR="003277F1" w:rsidRPr="00F61625" w:rsidRDefault="003277F1" w:rsidP="00F61625">
            <w:pPr>
              <w:pStyle w:val="ListParagraph"/>
              <w:spacing w:after="0" w:line="240" w:lineRule="auto"/>
              <w:ind w:left="0"/>
              <w:jc w:val="center"/>
              <w:rPr>
                <w:rFonts w:ascii="Times New Roman" w:hAnsi="Times New Roman"/>
                <w:b/>
                <w:sz w:val="24"/>
                <w:szCs w:val="24"/>
              </w:rPr>
            </w:pPr>
            <w:r w:rsidRPr="00F61625">
              <w:rPr>
                <w:rFonts w:ascii="Times New Roman" w:hAnsi="Times New Roman"/>
                <w:b/>
                <w:sz w:val="24"/>
                <w:szCs w:val="24"/>
              </w:rPr>
              <w:t>20</w:t>
            </w:r>
          </w:p>
        </w:tc>
      </w:tr>
      <w:tr w:rsidR="003277F1" w:rsidRPr="00F61625" w:rsidTr="00F61625">
        <w:tc>
          <w:tcPr>
            <w:tcW w:w="7586" w:type="dxa"/>
            <w:gridSpan w:val="2"/>
          </w:tcPr>
          <w:p w:rsidR="003277F1" w:rsidRPr="00F61625" w:rsidRDefault="003277F1" w:rsidP="00094920">
            <w:pPr>
              <w:spacing w:after="0" w:line="240" w:lineRule="auto"/>
              <w:jc w:val="center"/>
              <w:rPr>
                <w:rFonts w:ascii="Times New Roman" w:hAnsi="Times New Roman"/>
                <w:b/>
                <w:sz w:val="24"/>
                <w:szCs w:val="24"/>
              </w:rPr>
            </w:pPr>
            <w:r w:rsidRPr="00F61625">
              <w:rPr>
                <w:rFonts w:ascii="Times New Roman" w:hAnsi="Times New Roman"/>
                <w:b/>
                <w:sz w:val="24"/>
                <w:szCs w:val="24"/>
              </w:rPr>
              <w:t>Возможное (максимальное) количество баллов по показателям</w:t>
            </w:r>
          </w:p>
        </w:tc>
        <w:tc>
          <w:tcPr>
            <w:tcW w:w="1879" w:type="dxa"/>
          </w:tcPr>
          <w:p w:rsidR="003277F1" w:rsidRPr="00F61625" w:rsidRDefault="003277F1" w:rsidP="00F61625">
            <w:pPr>
              <w:pStyle w:val="ListParagraph"/>
              <w:spacing w:after="0" w:line="240" w:lineRule="auto"/>
              <w:ind w:left="0"/>
              <w:jc w:val="center"/>
              <w:rPr>
                <w:rFonts w:ascii="Times New Roman" w:hAnsi="Times New Roman"/>
                <w:b/>
                <w:sz w:val="24"/>
                <w:szCs w:val="24"/>
              </w:rPr>
            </w:pPr>
            <w:r w:rsidRPr="00F61625">
              <w:rPr>
                <w:rFonts w:ascii="Times New Roman" w:hAnsi="Times New Roman"/>
                <w:b/>
                <w:sz w:val="24"/>
                <w:szCs w:val="24"/>
              </w:rPr>
              <w:t>184</w:t>
            </w:r>
          </w:p>
        </w:tc>
        <w:tc>
          <w:tcPr>
            <w:tcW w:w="1217" w:type="dxa"/>
          </w:tcPr>
          <w:p w:rsidR="003277F1" w:rsidRPr="00F61625" w:rsidRDefault="003277F1" w:rsidP="00F61625">
            <w:pPr>
              <w:pStyle w:val="ListParagraph"/>
              <w:spacing w:after="0" w:line="240" w:lineRule="auto"/>
              <w:ind w:left="0"/>
              <w:jc w:val="center"/>
              <w:rPr>
                <w:rFonts w:ascii="Times New Roman" w:hAnsi="Times New Roman"/>
                <w:b/>
                <w:sz w:val="24"/>
                <w:szCs w:val="24"/>
              </w:rPr>
            </w:pPr>
            <w:r w:rsidRPr="00F61625">
              <w:rPr>
                <w:rFonts w:ascii="Times New Roman" w:hAnsi="Times New Roman"/>
                <w:b/>
                <w:sz w:val="24"/>
                <w:szCs w:val="24"/>
              </w:rPr>
              <w:t>184</w:t>
            </w:r>
          </w:p>
        </w:tc>
      </w:tr>
    </w:tbl>
    <w:p w:rsidR="003277F1" w:rsidRPr="00FD140B" w:rsidRDefault="003277F1" w:rsidP="00BA344F">
      <w:pPr>
        <w:pStyle w:val="ListParagraph"/>
        <w:spacing w:after="0" w:line="240" w:lineRule="auto"/>
        <w:ind w:left="0"/>
        <w:rPr>
          <w:rFonts w:ascii="Times New Roman" w:hAnsi="Times New Roman"/>
          <w:sz w:val="24"/>
          <w:szCs w:val="24"/>
        </w:rPr>
      </w:pPr>
    </w:p>
    <w:p w:rsidR="003277F1" w:rsidRPr="00FD140B" w:rsidRDefault="003277F1" w:rsidP="00BA344F">
      <w:pPr>
        <w:pStyle w:val="ListParagraph"/>
        <w:spacing w:after="0" w:line="240" w:lineRule="auto"/>
        <w:ind w:left="0"/>
        <w:rPr>
          <w:rFonts w:ascii="Times New Roman" w:hAnsi="Times New Roman"/>
          <w:sz w:val="24"/>
          <w:szCs w:val="24"/>
        </w:rPr>
      </w:pPr>
    </w:p>
    <w:p w:rsidR="003277F1" w:rsidRDefault="003277F1"/>
    <w:sectPr w:rsidR="003277F1" w:rsidSect="00BA344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F297A"/>
    <w:rsid w:val="00094920"/>
    <w:rsid w:val="0025129F"/>
    <w:rsid w:val="003277F1"/>
    <w:rsid w:val="007B4ADC"/>
    <w:rsid w:val="007F297A"/>
    <w:rsid w:val="008B3608"/>
    <w:rsid w:val="008D5B1C"/>
    <w:rsid w:val="00AD0A97"/>
    <w:rsid w:val="00BA344F"/>
    <w:rsid w:val="00C14C82"/>
    <w:rsid w:val="00CE3CA3"/>
    <w:rsid w:val="00F23309"/>
    <w:rsid w:val="00F61625"/>
    <w:rsid w:val="00F84FE8"/>
    <w:rsid w:val="00FD140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344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A344F"/>
    <w:pPr>
      <w:ind w:left="720"/>
      <w:contextualSpacing/>
    </w:pPr>
  </w:style>
  <w:style w:type="table" w:styleId="TableGrid">
    <w:name w:val="Table Grid"/>
    <w:basedOn w:val="TableNormal"/>
    <w:uiPriority w:val="99"/>
    <w:rsid w:val="00BA344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35</TotalTime>
  <Pages>9</Pages>
  <Words>3418</Words>
  <Characters>19483</Characters>
  <Application>Microsoft Office Outlook</Application>
  <DocSecurity>0</DocSecurity>
  <Lines>0</Lines>
  <Paragraphs>0</Paragraphs>
  <ScaleCrop>false</ScaleCrop>
  <Company>Curnos™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UserXP</dc:creator>
  <cp:keywords/>
  <dc:description/>
  <cp:lastModifiedBy>User</cp:lastModifiedBy>
  <cp:revision>5</cp:revision>
  <dcterms:created xsi:type="dcterms:W3CDTF">2007-01-01T01:17:00Z</dcterms:created>
  <dcterms:modified xsi:type="dcterms:W3CDTF">2022-01-31T11:31:00Z</dcterms:modified>
</cp:coreProperties>
</file>